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2E33" w14:textId="63094C66" w:rsidR="00615072" w:rsidRPr="009F7854" w:rsidRDefault="003206A8">
      <w:pPr>
        <w:spacing w:before="82"/>
        <w:ind w:left="120"/>
        <w:rPr>
          <w:sz w:val="24"/>
        </w:rPr>
      </w:pPr>
      <w:r w:rsidRPr="009F7854">
        <w:rPr>
          <w:b/>
          <w:sz w:val="24"/>
        </w:rPr>
        <w:t xml:space="preserve">Title: </w:t>
      </w:r>
      <w:r w:rsidR="0035285B" w:rsidRPr="009F7854">
        <w:rPr>
          <w:rFonts w:ascii="Trebuchet MS"/>
          <w:b/>
          <w:sz w:val="24"/>
        </w:rPr>
        <w:t xml:space="preserve">IRS Magnets in </w:t>
      </w:r>
      <w:r w:rsidR="009F7854">
        <w:rPr>
          <w:rFonts w:ascii="Trebuchet MS"/>
          <w:b/>
          <w:sz w:val="24"/>
        </w:rPr>
        <w:t xml:space="preserve">Estate and Gift </w:t>
      </w:r>
      <w:r w:rsidR="0035285B" w:rsidRPr="009F7854">
        <w:rPr>
          <w:rFonts w:ascii="Trebuchet MS"/>
          <w:b/>
          <w:sz w:val="24"/>
        </w:rPr>
        <w:t>Business Appraisals</w:t>
      </w:r>
      <w:r w:rsidRPr="009F7854">
        <w:rPr>
          <w:rFonts w:ascii="Trebuchet MS"/>
          <w:b/>
          <w:sz w:val="24"/>
        </w:rPr>
        <w:t xml:space="preserve"> </w:t>
      </w:r>
      <w:r w:rsidRPr="009F7854">
        <w:rPr>
          <w:sz w:val="24"/>
        </w:rPr>
        <w:t>| 1-hour</w:t>
      </w:r>
    </w:p>
    <w:p w14:paraId="1009FF2C" w14:textId="77777777" w:rsidR="00615072" w:rsidRPr="009F7854" w:rsidRDefault="00615072">
      <w:pPr>
        <w:pStyle w:val="BodyText"/>
        <w:spacing w:before="4"/>
        <w:ind w:left="0"/>
        <w:rPr>
          <w:sz w:val="38"/>
        </w:rPr>
      </w:pPr>
    </w:p>
    <w:p w14:paraId="58F8C0C6" w14:textId="13D580A1" w:rsidR="002A3D33" w:rsidRPr="009F7854" w:rsidRDefault="003206A8" w:rsidP="00CD34E7">
      <w:pPr>
        <w:pStyle w:val="BodyText"/>
        <w:spacing w:before="1" w:line="288" w:lineRule="auto"/>
        <w:ind w:left="120" w:right="154"/>
        <w:rPr>
          <w:rFonts w:cs="Times New Roman"/>
          <w:bCs/>
          <w:szCs w:val="24"/>
          <w:shd w:val="clear" w:color="auto" w:fill="FFFFFF"/>
        </w:rPr>
      </w:pPr>
      <w:r w:rsidRPr="009F7854">
        <w:rPr>
          <w:rFonts w:ascii="Trebuchet MS"/>
          <w:b/>
          <w:sz w:val="22"/>
        </w:rPr>
        <w:t>Course</w:t>
      </w:r>
      <w:r w:rsidRPr="009F7854">
        <w:rPr>
          <w:rFonts w:ascii="Trebuchet MS"/>
          <w:b/>
          <w:spacing w:val="-15"/>
          <w:sz w:val="22"/>
        </w:rPr>
        <w:t xml:space="preserve"> </w:t>
      </w:r>
      <w:r w:rsidRPr="009F7854">
        <w:rPr>
          <w:rFonts w:ascii="Trebuchet MS"/>
          <w:b/>
          <w:sz w:val="22"/>
        </w:rPr>
        <w:t>Description:</w:t>
      </w:r>
      <w:r w:rsidRPr="009F7854">
        <w:rPr>
          <w:rFonts w:ascii="Trebuchet MS"/>
          <w:b/>
          <w:spacing w:val="-15"/>
          <w:sz w:val="22"/>
        </w:rPr>
        <w:t xml:space="preserve"> </w:t>
      </w:r>
      <w:r w:rsidR="002003DA" w:rsidRPr="009F7854">
        <w:rPr>
          <w:rFonts w:ascii="Trebuchet MS"/>
          <w:bCs/>
          <w:spacing w:val="-15"/>
          <w:sz w:val="22"/>
        </w:rPr>
        <w:t xml:space="preserve">Business appraisals are often a key </w:t>
      </w:r>
      <w:r w:rsidR="00AF4F2B" w:rsidRPr="009F7854">
        <w:rPr>
          <w:rFonts w:ascii="Trebuchet MS"/>
          <w:bCs/>
          <w:spacing w:val="-15"/>
          <w:sz w:val="22"/>
        </w:rPr>
        <w:t xml:space="preserve">component </w:t>
      </w:r>
      <w:r w:rsidR="002003DA" w:rsidRPr="009F7854">
        <w:rPr>
          <w:rFonts w:ascii="Trebuchet MS"/>
          <w:bCs/>
          <w:spacing w:val="-15"/>
          <w:sz w:val="22"/>
        </w:rPr>
        <w:t>in estate planning. Stemming d</w:t>
      </w:r>
      <w:r w:rsidR="00451F81" w:rsidRPr="009F7854">
        <w:rPr>
          <w:rFonts w:cs="Times New Roman"/>
          <w:bCs/>
          <w:szCs w:val="24"/>
          <w:shd w:val="clear" w:color="auto" w:fill="FFFFFF"/>
        </w:rPr>
        <w:t>isputes with the IRS over the values of privately held business interests are not uncommon</w:t>
      </w:r>
      <w:r w:rsidR="00526454" w:rsidRPr="009F7854">
        <w:rPr>
          <w:rFonts w:cs="Times New Roman"/>
          <w:bCs/>
          <w:szCs w:val="24"/>
          <w:shd w:val="clear" w:color="auto" w:fill="FFFFFF"/>
        </w:rPr>
        <w:t xml:space="preserve">. </w:t>
      </w:r>
      <w:r w:rsidR="002A3D33" w:rsidRPr="009F7854">
        <w:rPr>
          <w:rFonts w:cs="Times New Roman"/>
          <w:bCs/>
          <w:szCs w:val="24"/>
          <w:shd w:val="clear" w:color="auto" w:fill="FFFFFF"/>
        </w:rPr>
        <w:t>Frequent triggers for these disputes include (1) the discount for lack of liquidity and marketability (“DLOM”) applied by the appraiser to a non-controlling minority interest in the subject business</w:t>
      </w:r>
      <w:r w:rsidR="00FA0AC6" w:rsidRPr="009F7854">
        <w:rPr>
          <w:rFonts w:cs="Times New Roman"/>
          <w:bCs/>
          <w:szCs w:val="24"/>
          <w:shd w:val="clear" w:color="auto" w:fill="FFFFFF"/>
        </w:rPr>
        <w:t>,</w:t>
      </w:r>
      <w:r w:rsidR="002A3D33" w:rsidRPr="009F7854">
        <w:rPr>
          <w:rFonts w:cs="Times New Roman"/>
          <w:bCs/>
          <w:szCs w:val="24"/>
          <w:shd w:val="clear" w:color="auto" w:fill="FFFFFF"/>
        </w:rPr>
        <w:t xml:space="preserve"> and (2) tax affecting applied by the appraiser to earnings in a pass-through entity</w:t>
      </w:r>
      <w:r w:rsidR="00526454" w:rsidRPr="009F7854">
        <w:rPr>
          <w:rFonts w:cs="Times New Roman"/>
          <w:bCs/>
          <w:szCs w:val="24"/>
          <w:shd w:val="clear" w:color="auto" w:fill="FFFFFF"/>
        </w:rPr>
        <w:t xml:space="preserve">. </w:t>
      </w:r>
      <w:r w:rsidR="002A3D33" w:rsidRPr="009F7854">
        <w:rPr>
          <w:rFonts w:cs="Times New Roman"/>
          <w:bCs/>
          <w:szCs w:val="24"/>
          <w:shd w:val="clear" w:color="auto" w:fill="FFFFFF"/>
        </w:rPr>
        <w:t xml:space="preserve">This presentation is designed to inform and empower </w:t>
      </w:r>
      <w:r w:rsidR="002A3D33" w:rsidRPr="009F7854">
        <w:rPr>
          <w:bCs/>
        </w:rPr>
        <w:t xml:space="preserve">tax and estate planning professionals to reduce their clients’ exposure to IRS disputes </w:t>
      </w:r>
      <w:r w:rsidRPr="009F7854">
        <w:rPr>
          <w:bCs/>
        </w:rPr>
        <w:t xml:space="preserve">over business appraisal, </w:t>
      </w:r>
      <w:r w:rsidR="002A3D33" w:rsidRPr="009F7854">
        <w:rPr>
          <w:bCs/>
        </w:rPr>
        <w:t xml:space="preserve">and to better defend clients against existing </w:t>
      </w:r>
      <w:r w:rsidRPr="009F7854">
        <w:rPr>
          <w:bCs/>
        </w:rPr>
        <w:t>IRS appraisal challenges, regardless of the status of the case (i.e. audit, appeals, United States Tax Court).</w:t>
      </w:r>
    </w:p>
    <w:p w14:paraId="0D3DC7A7" w14:textId="77777777" w:rsidR="002A3D33" w:rsidRPr="009F7854" w:rsidRDefault="002A3D33" w:rsidP="00CD34E7">
      <w:pPr>
        <w:pStyle w:val="BodyText"/>
        <w:spacing w:before="1" w:line="288" w:lineRule="auto"/>
        <w:ind w:left="120" w:right="154"/>
        <w:rPr>
          <w:rFonts w:cs="Times New Roman"/>
          <w:bCs/>
          <w:color w:val="202020"/>
          <w:szCs w:val="24"/>
          <w:shd w:val="clear" w:color="auto" w:fill="FFFFFF"/>
        </w:rPr>
      </w:pPr>
    </w:p>
    <w:p w14:paraId="3AD68DE3" w14:textId="77777777" w:rsidR="00615072" w:rsidRDefault="003206A8">
      <w:pPr>
        <w:pStyle w:val="BodyText"/>
        <w:ind w:left="120"/>
      </w:pPr>
      <w:r>
        <w:t>Learning Objectives/The following topics will be discussed:</w:t>
      </w:r>
    </w:p>
    <w:p w14:paraId="540E16B4" w14:textId="77777777" w:rsidR="00615072" w:rsidRDefault="00615072">
      <w:pPr>
        <w:pStyle w:val="BodyText"/>
        <w:spacing w:before="5"/>
        <w:ind w:left="0"/>
        <w:rPr>
          <w:sz w:val="29"/>
        </w:rPr>
      </w:pPr>
    </w:p>
    <w:p w14:paraId="3B89DE0B" w14:textId="061989C4" w:rsidR="00615072" w:rsidRDefault="003206A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0"/>
        <w:rPr>
          <w:sz w:val="21"/>
        </w:rPr>
      </w:pPr>
      <w:r>
        <w:rPr>
          <w:sz w:val="21"/>
        </w:rPr>
        <w:t>Understanding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 w:rsidR="00531CED">
        <w:rPr>
          <w:sz w:val="21"/>
        </w:rPr>
        <w:t xml:space="preserve">common areas of IRS attack on business valuations </w:t>
      </w:r>
    </w:p>
    <w:p w14:paraId="33181FFE" w14:textId="1B280DD2" w:rsidR="00615072" w:rsidRDefault="003206A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rPr>
          <w:sz w:val="21"/>
        </w:rPr>
      </w:pPr>
      <w:r>
        <w:rPr>
          <w:w w:val="105"/>
          <w:sz w:val="21"/>
        </w:rPr>
        <w:t>Recognizing</w:t>
      </w:r>
      <w:r>
        <w:rPr>
          <w:spacing w:val="-13"/>
          <w:w w:val="105"/>
          <w:sz w:val="21"/>
        </w:rPr>
        <w:t xml:space="preserve"> </w:t>
      </w:r>
      <w:r w:rsidR="00531CED">
        <w:rPr>
          <w:spacing w:val="-13"/>
          <w:w w:val="105"/>
          <w:sz w:val="21"/>
        </w:rPr>
        <w:t xml:space="preserve">deficiencies in </w:t>
      </w:r>
      <w:r w:rsidR="00FA0AC6">
        <w:rPr>
          <w:spacing w:val="-13"/>
          <w:w w:val="105"/>
          <w:sz w:val="21"/>
        </w:rPr>
        <w:t>these areas of a</w:t>
      </w:r>
      <w:r w:rsidR="00531CED">
        <w:rPr>
          <w:spacing w:val="-13"/>
          <w:w w:val="105"/>
          <w:sz w:val="21"/>
        </w:rPr>
        <w:t xml:space="preserve">ppraisals </w:t>
      </w:r>
      <w:r w:rsidR="00FA0AC6">
        <w:rPr>
          <w:spacing w:val="-13"/>
          <w:w w:val="105"/>
          <w:sz w:val="21"/>
        </w:rPr>
        <w:t>before submission to the IRS</w:t>
      </w:r>
    </w:p>
    <w:p w14:paraId="3F901E80" w14:textId="79ACF7D0" w:rsidR="00615072" w:rsidRDefault="003206A8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49"/>
        <w:rPr>
          <w:sz w:val="21"/>
        </w:rPr>
      </w:pPr>
      <w:r>
        <w:rPr>
          <w:sz w:val="21"/>
        </w:rPr>
        <w:t>Discerning</w:t>
      </w:r>
      <w:r>
        <w:rPr>
          <w:spacing w:val="-6"/>
          <w:sz w:val="21"/>
        </w:rPr>
        <w:t xml:space="preserve"> </w:t>
      </w:r>
      <w:r>
        <w:rPr>
          <w:sz w:val="21"/>
        </w:rPr>
        <w:t>how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 w:rsidR="00531CED">
        <w:rPr>
          <w:sz w:val="21"/>
        </w:rPr>
        <w:t>reduce valuation audit risk</w:t>
      </w:r>
    </w:p>
    <w:p w14:paraId="16EEFC6E" w14:textId="6AA702BC" w:rsidR="00615072" w:rsidRDefault="00531CED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after="54"/>
        <w:rPr>
          <w:sz w:val="21"/>
        </w:rPr>
      </w:pPr>
      <w:r>
        <w:rPr>
          <w:sz w:val="21"/>
        </w:rPr>
        <w:t>Settling or litigating valuation disputes with the IRS</w:t>
      </w:r>
    </w:p>
    <w:p w14:paraId="2420D126" w14:textId="77777777" w:rsidR="00FA0AC6" w:rsidRPr="00FA0AC6" w:rsidRDefault="00FA0AC6" w:rsidP="00FA0AC6">
      <w:pPr>
        <w:tabs>
          <w:tab w:val="left" w:pos="839"/>
          <w:tab w:val="left" w:pos="840"/>
        </w:tabs>
        <w:spacing w:after="54"/>
        <w:ind w:left="480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660"/>
      </w:tblGrid>
      <w:tr w:rsidR="00615072" w14:paraId="64CBC16B" w14:textId="77777777">
        <w:trPr>
          <w:trHeight w:val="479"/>
        </w:trPr>
        <w:tc>
          <w:tcPr>
            <w:tcW w:w="1700" w:type="dxa"/>
          </w:tcPr>
          <w:p w14:paraId="6956B8F6" w14:textId="77777777" w:rsidR="00615072" w:rsidRDefault="003206A8">
            <w:pPr>
              <w:pStyle w:val="TableParagraph"/>
              <w:spacing w:before="121"/>
              <w:ind w:left="95" w:firstLine="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Hour One</w:t>
            </w:r>
          </w:p>
        </w:tc>
        <w:tc>
          <w:tcPr>
            <w:tcW w:w="7660" w:type="dxa"/>
          </w:tcPr>
          <w:p w14:paraId="3F02ADA1" w14:textId="77777777" w:rsidR="00615072" w:rsidRDefault="00615072">
            <w:pPr>
              <w:pStyle w:val="TableParagraph"/>
              <w:spacing w:before="0"/>
              <w:ind w:left="0" w:firstLine="0"/>
              <w:rPr>
                <w:rFonts w:ascii="Times New Roman"/>
                <w:sz w:val="20"/>
              </w:rPr>
            </w:pPr>
          </w:p>
        </w:tc>
      </w:tr>
      <w:tr w:rsidR="00615072" w14:paraId="784C26F0" w14:textId="77777777">
        <w:trPr>
          <w:trHeight w:val="1259"/>
        </w:trPr>
        <w:tc>
          <w:tcPr>
            <w:tcW w:w="1700" w:type="dxa"/>
          </w:tcPr>
          <w:p w14:paraId="77C80E18" w14:textId="220490D6" w:rsidR="00615072" w:rsidRDefault="00531CED">
            <w:pPr>
              <w:pStyle w:val="TableParagraph"/>
              <w:spacing w:before="111"/>
              <w:ind w:left="95" w:firstLine="0"/>
            </w:pPr>
            <w:r>
              <w:rPr>
                <w:w w:val="105"/>
              </w:rPr>
              <w:t>20</w:t>
            </w:r>
            <w:r w:rsidR="003206A8">
              <w:rPr>
                <w:w w:val="105"/>
              </w:rPr>
              <w:t xml:space="preserve"> minutes</w:t>
            </w:r>
          </w:p>
        </w:tc>
        <w:tc>
          <w:tcPr>
            <w:tcW w:w="7660" w:type="dxa"/>
          </w:tcPr>
          <w:p w14:paraId="50D1A1F5" w14:textId="3B720E51" w:rsidR="00615072" w:rsidRDefault="00155C8A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111"/>
            </w:pPr>
            <w:r>
              <w:t xml:space="preserve">Valuation discounts </w:t>
            </w:r>
          </w:p>
          <w:p w14:paraId="153F1BEF" w14:textId="18F031A8" w:rsidR="00615072" w:rsidRDefault="003206A8">
            <w:pPr>
              <w:pStyle w:val="TableParagraph"/>
              <w:numPr>
                <w:ilvl w:val="1"/>
                <w:numId w:val="5"/>
              </w:numPr>
              <w:tabs>
                <w:tab w:val="left" w:pos="1544"/>
                <w:tab w:val="left" w:pos="1545"/>
              </w:tabs>
            </w:pPr>
            <w:r>
              <w:rPr>
                <w:w w:val="105"/>
              </w:rPr>
              <w:t>What is</w:t>
            </w:r>
            <w:r>
              <w:rPr>
                <w:spacing w:val="-23"/>
                <w:w w:val="105"/>
              </w:rPr>
              <w:t xml:space="preserve"> </w:t>
            </w:r>
            <w:r w:rsidR="00155C8A">
              <w:rPr>
                <w:spacing w:val="-23"/>
                <w:w w:val="105"/>
              </w:rPr>
              <w:t xml:space="preserve">a Discount for Lack of Liquidity and Marketability </w:t>
            </w:r>
            <w:r w:rsidR="00155C8A">
              <w:rPr>
                <w:w w:val="105"/>
              </w:rPr>
              <w:t>(“DLOM”)</w:t>
            </w:r>
            <w:r>
              <w:rPr>
                <w:w w:val="105"/>
              </w:rPr>
              <w:t>?</w:t>
            </w:r>
          </w:p>
          <w:p w14:paraId="311F50D4" w14:textId="41D5C675" w:rsidR="00615072" w:rsidRDefault="003206A8">
            <w:pPr>
              <w:pStyle w:val="TableParagraph"/>
              <w:numPr>
                <w:ilvl w:val="1"/>
                <w:numId w:val="5"/>
              </w:numPr>
              <w:tabs>
                <w:tab w:val="left" w:pos="1544"/>
                <w:tab w:val="left" w:pos="1545"/>
              </w:tabs>
            </w:pPr>
            <w:r>
              <w:rPr>
                <w:w w:val="105"/>
              </w:rPr>
              <w:t>Wh</w:t>
            </w:r>
            <w:r w:rsidR="007813F5">
              <w:rPr>
                <w:w w:val="105"/>
              </w:rPr>
              <w:t>y does the IRS attack the DLOM</w:t>
            </w:r>
            <w:r>
              <w:rPr>
                <w:w w:val="105"/>
              </w:rPr>
              <w:t>?</w:t>
            </w:r>
          </w:p>
          <w:p w14:paraId="2251D28C" w14:textId="32D35079" w:rsidR="00615072" w:rsidRDefault="007813F5">
            <w:pPr>
              <w:pStyle w:val="TableParagraph"/>
              <w:numPr>
                <w:ilvl w:val="1"/>
                <w:numId w:val="5"/>
              </w:numPr>
              <w:tabs>
                <w:tab w:val="left" w:pos="1544"/>
                <w:tab w:val="left" w:pos="1545"/>
              </w:tabs>
            </w:pPr>
            <w:r>
              <w:t>What is most reliable way to develop DLOM</w:t>
            </w:r>
            <w:r w:rsidR="00526454">
              <w:t xml:space="preserve">? </w:t>
            </w:r>
            <w:r w:rsidR="00451F81">
              <w:t>Qualitative vs. quantitative</w:t>
            </w:r>
          </w:p>
          <w:p w14:paraId="196CA6EA" w14:textId="4B7D55CF" w:rsidR="00451F81" w:rsidRDefault="00451F81" w:rsidP="00451F81">
            <w:pPr>
              <w:pStyle w:val="TableParagraph"/>
              <w:tabs>
                <w:tab w:val="left" w:pos="1544"/>
                <w:tab w:val="left" w:pos="1545"/>
              </w:tabs>
              <w:ind w:firstLine="0"/>
            </w:pPr>
          </w:p>
        </w:tc>
      </w:tr>
      <w:tr w:rsidR="00615072" w14:paraId="49AE37F4" w14:textId="77777777" w:rsidTr="001C09EC">
        <w:trPr>
          <w:trHeight w:val="1689"/>
        </w:trPr>
        <w:tc>
          <w:tcPr>
            <w:tcW w:w="1700" w:type="dxa"/>
          </w:tcPr>
          <w:p w14:paraId="1C7EAD6A" w14:textId="7A48A1BF" w:rsidR="00615072" w:rsidRDefault="00531CED">
            <w:pPr>
              <w:pStyle w:val="TableParagraph"/>
              <w:spacing w:before="112"/>
              <w:ind w:left="95" w:firstLine="0"/>
            </w:pPr>
            <w:r>
              <w:rPr>
                <w:w w:val="105"/>
              </w:rPr>
              <w:t>20</w:t>
            </w:r>
            <w:r w:rsidR="003206A8">
              <w:rPr>
                <w:w w:val="105"/>
              </w:rPr>
              <w:t xml:space="preserve"> minutes</w:t>
            </w:r>
          </w:p>
        </w:tc>
        <w:tc>
          <w:tcPr>
            <w:tcW w:w="7660" w:type="dxa"/>
          </w:tcPr>
          <w:p w14:paraId="42CF8876" w14:textId="33079E6B" w:rsidR="00615072" w:rsidRDefault="007813F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before="112"/>
            </w:pPr>
            <w:r>
              <w:rPr>
                <w:w w:val="105"/>
              </w:rPr>
              <w:t>Tax affecting of earnings in pass-through entities</w:t>
            </w:r>
          </w:p>
          <w:p w14:paraId="2EB2DF40" w14:textId="73566D8C" w:rsidR="00615072" w:rsidRDefault="007813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</w:pPr>
            <w:r>
              <w:rPr>
                <w:w w:val="105"/>
              </w:rPr>
              <w:t>What is tax affecting?</w:t>
            </w:r>
          </w:p>
          <w:p w14:paraId="1F2B5F90" w14:textId="67E602CF" w:rsidR="00615072" w:rsidRPr="007813F5" w:rsidRDefault="007813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</w:pPr>
            <w:r>
              <w:rPr>
                <w:spacing w:val="-1"/>
              </w:rPr>
              <w:t>When is tax affecting appropriate?</w:t>
            </w:r>
          </w:p>
          <w:p w14:paraId="7E06A52C" w14:textId="58315BC1" w:rsidR="007813F5" w:rsidRDefault="007813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</w:pPr>
            <w:r>
              <w:rPr>
                <w:spacing w:val="-1"/>
              </w:rPr>
              <w:t xml:space="preserve">Why </w:t>
            </w:r>
            <w:r w:rsidR="00FA0AC6">
              <w:rPr>
                <w:spacing w:val="-1"/>
              </w:rPr>
              <w:t xml:space="preserve">is </w:t>
            </w:r>
            <w:r>
              <w:rPr>
                <w:spacing w:val="-1"/>
              </w:rPr>
              <w:t>the IRS</w:t>
            </w:r>
            <w:r w:rsidR="00FA0AC6">
              <w:rPr>
                <w:spacing w:val="-1"/>
              </w:rPr>
              <w:t>’</w:t>
            </w:r>
            <w:r>
              <w:rPr>
                <w:spacing w:val="-1"/>
              </w:rPr>
              <w:t xml:space="preserve"> argu</w:t>
            </w:r>
            <w:r w:rsidR="00FA0AC6">
              <w:rPr>
                <w:spacing w:val="-1"/>
              </w:rPr>
              <w:t>m</w:t>
            </w:r>
            <w:r>
              <w:rPr>
                <w:spacing w:val="-1"/>
              </w:rPr>
              <w:t>e</w:t>
            </w:r>
            <w:r w:rsidR="00FA0AC6">
              <w:rPr>
                <w:spacing w:val="-1"/>
              </w:rPr>
              <w:t>nt</w:t>
            </w:r>
            <w:r>
              <w:rPr>
                <w:spacing w:val="-1"/>
              </w:rPr>
              <w:t xml:space="preserve"> against tax affecting?</w:t>
            </w:r>
          </w:p>
          <w:p w14:paraId="630B75AC" w14:textId="0B68BFA0" w:rsidR="00615072" w:rsidRDefault="007813F5" w:rsidP="007813F5">
            <w:pPr>
              <w:pStyle w:val="TableParagraph"/>
              <w:numPr>
                <w:ilvl w:val="1"/>
                <w:numId w:val="4"/>
              </w:numPr>
              <w:tabs>
                <w:tab w:val="left" w:pos="1544"/>
                <w:tab w:val="left" w:pos="1545"/>
              </w:tabs>
            </w:pPr>
            <w:r>
              <w:t>What does the US Tax Court say about tax affecting?</w:t>
            </w:r>
          </w:p>
        </w:tc>
      </w:tr>
      <w:tr w:rsidR="00615072" w14:paraId="7F8167FE" w14:textId="77777777">
        <w:trPr>
          <w:trHeight w:val="1259"/>
        </w:trPr>
        <w:tc>
          <w:tcPr>
            <w:tcW w:w="1700" w:type="dxa"/>
          </w:tcPr>
          <w:p w14:paraId="3BA557C5" w14:textId="1FB4147E" w:rsidR="00615072" w:rsidRDefault="00531CED">
            <w:pPr>
              <w:pStyle w:val="TableParagraph"/>
              <w:spacing w:before="109"/>
              <w:ind w:left="95" w:firstLine="0"/>
            </w:pPr>
            <w:r>
              <w:rPr>
                <w:w w:val="105"/>
              </w:rPr>
              <w:t>20</w:t>
            </w:r>
            <w:r w:rsidR="003206A8">
              <w:rPr>
                <w:w w:val="105"/>
              </w:rPr>
              <w:t xml:space="preserve"> minutes</w:t>
            </w:r>
          </w:p>
        </w:tc>
        <w:tc>
          <w:tcPr>
            <w:tcW w:w="7660" w:type="dxa"/>
          </w:tcPr>
          <w:p w14:paraId="5124E905" w14:textId="3F54DE9A" w:rsidR="00615072" w:rsidRDefault="00FA0AC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  <w:tab w:val="left" w:pos="825"/>
              </w:tabs>
              <w:spacing w:before="109"/>
            </w:pPr>
            <w:r>
              <w:t>You’re in a valuation dispute with the IRS – now what?</w:t>
            </w:r>
          </w:p>
          <w:p w14:paraId="450BF191" w14:textId="392AD481" w:rsidR="00451F81" w:rsidRDefault="00FA0AC6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  <w:tab w:val="left" w:pos="1545"/>
              </w:tabs>
            </w:pPr>
            <w:r>
              <w:t>Should I attempt to settle</w:t>
            </w:r>
            <w:r w:rsidR="00451F81">
              <w:t>?</w:t>
            </w:r>
          </w:p>
          <w:p w14:paraId="7949FCC5" w14:textId="2566DF4A" w:rsidR="00FA0AC6" w:rsidRDefault="00FA0AC6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  <w:tab w:val="left" w:pos="1545"/>
              </w:tabs>
            </w:pPr>
            <w:r>
              <w:t>The IRS is being unreasonable</w:t>
            </w:r>
            <w:r w:rsidR="00526454">
              <w:t xml:space="preserve">. </w:t>
            </w:r>
            <w:r>
              <w:t>Now what?</w:t>
            </w:r>
          </w:p>
          <w:p w14:paraId="7EB2F88A" w14:textId="1E839654" w:rsidR="00451F81" w:rsidRDefault="00FA0AC6">
            <w:pPr>
              <w:pStyle w:val="TableParagraph"/>
              <w:numPr>
                <w:ilvl w:val="1"/>
                <w:numId w:val="3"/>
              </w:numPr>
              <w:tabs>
                <w:tab w:val="left" w:pos="1544"/>
                <w:tab w:val="left" w:pos="1545"/>
              </w:tabs>
            </w:pPr>
            <w:r>
              <w:t>What tool(s) should I use to fight the IRS</w:t>
            </w:r>
            <w:r w:rsidR="00451F81">
              <w:t>?</w:t>
            </w:r>
          </w:p>
          <w:p w14:paraId="1616B098" w14:textId="449C12AF" w:rsidR="00615072" w:rsidRDefault="00615072" w:rsidP="001C09EC">
            <w:pPr>
              <w:pStyle w:val="TableParagraph"/>
              <w:tabs>
                <w:tab w:val="left" w:pos="1544"/>
                <w:tab w:val="left" w:pos="1545"/>
              </w:tabs>
              <w:ind w:firstLine="0"/>
            </w:pPr>
          </w:p>
        </w:tc>
      </w:tr>
    </w:tbl>
    <w:p w14:paraId="43FD0961" w14:textId="77777777" w:rsidR="0019253F" w:rsidRDefault="0019253F"/>
    <w:sectPr w:rsidR="0019253F">
      <w:type w:val="continuous"/>
      <w:pgSz w:w="12240" w:h="15840"/>
      <w:pgMar w:top="6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1716"/>
    <w:multiLevelType w:val="hybridMultilevel"/>
    <w:tmpl w:val="B9C2FDDE"/>
    <w:lvl w:ilvl="0" w:tplc="EB12CDDC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7"/>
        <w:w w:val="90"/>
        <w:sz w:val="22"/>
        <w:szCs w:val="22"/>
      </w:rPr>
    </w:lvl>
    <w:lvl w:ilvl="1" w:tplc="F402AF82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spacing w:val="-7"/>
        <w:w w:val="84"/>
        <w:sz w:val="22"/>
        <w:szCs w:val="22"/>
      </w:rPr>
    </w:lvl>
    <w:lvl w:ilvl="2" w:tplc="BD8E8488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C3B2F886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B69AE910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B4861C22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C72689AC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1CE01290"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A3ACADE8"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1" w15:restartNumberingAfterBreak="0">
    <w:nsid w:val="32EC34E9"/>
    <w:multiLevelType w:val="hybridMultilevel"/>
    <w:tmpl w:val="13808928"/>
    <w:lvl w:ilvl="0" w:tplc="268E70E8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7"/>
        <w:w w:val="85"/>
        <w:sz w:val="22"/>
        <w:szCs w:val="22"/>
      </w:rPr>
    </w:lvl>
    <w:lvl w:ilvl="1" w:tplc="F1887A78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spacing w:val="-7"/>
        <w:w w:val="93"/>
        <w:sz w:val="22"/>
        <w:szCs w:val="22"/>
      </w:rPr>
    </w:lvl>
    <w:lvl w:ilvl="2" w:tplc="F03840FE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DE388DE0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62A4BF02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53509E6A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B68A7048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0F242016"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3508FCE4"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2" w15:restartNumberingAfterBreak="0">
    <w:nsid w:val="38334ABD"/>
    <w:multiLevelType w:val="hybridMultilevel"/>
    <w:tmpl w:val="D7F4667E"/>
    <w:lvl w:ilvl="0" w:tplc="5B88E364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spacing w:val="-9"/>
        <w:w w:val="99"/>
        <w:sz w:val="21"/>
        <w:szCs w:val="21"/>
      </w:rPr>
    </w:lvl>
    <w:lvl w:ilvl="1" w:tplc="FE605D34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0590CAB8"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A47CC6DE"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E0721392"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31C235D4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4E3E1D50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DFB835FE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BECE5AB0"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3" w15:restartNumberingAfterBreak="0">
    <w:nsid w:val="5BE2325B"/>
    <w:multiLevelType w:val="hybridMultilevel"/>
    <w:tmpl w:val="F26CB436"/>
    <w:lvl w:ilvl="0" w:tplc="0CB6F616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7"/>
        <w:w w:val="88"/>
        <w:sz w:val="22"/>
        <w:szCs w:val="22"/>
      </w:rPr>
    </w:lvl>
    <w:lvl w:ilvl="1" w:tplc="41CA4372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spacing w:val="-13"/>
        <w:w w:val="89"/>
        <w:sz w:val="22"/>
        <w:szCs w:val="22"/>
      </w:rPr>
    </w:lvl>
    <w:lvl w:ilvl="2" w:tplc="E1D2C6B6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EC203338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50FC2A4A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9E1AB66C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EC9EF296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1F6018AE"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130C217C"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4" w15:restartNumberingAfterBreak="0">
    <w:nsid w:val="619D16FB"/>
    <w:multiLevelType w:val="hybridMultilevel"/>
    <w:tmpl w:val="BAFA91C0"/>
    <w:lvl w:ilvl="0" w:tplc="103C2CEE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7"/>
        <w:w w:val="93"/>
        <w:sz w:val="22"/>
        <w:szCs w:val="22"/>
      </w:rPr>
    </w:lvl>
    <w:lvl w:ilvl="1" w:tplc="00868E04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spacing w:val="-7"/>
        <w:w w:val="85"/>
        <w:sz w:val="22"/>
        <w:szCs w:val="22"/>
      </w:rPr>
    </w:lvl>
    <w:lvl w:ilvl="2" w:tplc="AFE2E2A8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F6E2E914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32D6B536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7C2AD1E0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12B2810C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2E54B4D8"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79DAFF00">
      <w:numFmt w:val="bullet"/>
      <w:lvlText w:val="•"/>
      <w:lvlJc w:val="left"/>
      <w:pPr>
        <w:ind w:left="6284" w:hanging="360"/>
      </w:pPr>
      <w:rPr>
        <w:rFonts w:hint="default"/>
      </w:rPr>
    </w:lvl>
  </w:abstractNum>
  <w:abstractNum w:abstractNumId="5" w15:restartNumberingAfterBreak="0">
    <w:nsid w:val="6EE524A7"/>
    <w:multiLevelType w:val="hybridMultilevel"/>
    <w:tmpl w:val="A2D662BA"/>
    <w:lvl w:ilvl="0" w:tplc="05A04748">
      <w:numFmt w:val="bullet"/>
      <w:lvlText w:val="●"/>
      <w:lvlJc w:val="left"/>
      <w:pPr>
        <w:ind w:left="825" w:hanging="360"/>
      </w:pPr>
      <w:rPr>
        <w:rFonts w:ascii="Arial" w:eastAsia="Arial" w:hAnsi="Arial" w:cs="Arial" w:hint="default"/>
        <w:spacing w:val="-7"/>
        <w:w w:val="85"/>
        <w:sz w:val="22"/>
        <w:szCs w:val="22"/>
      </w:rPr>
    </w:lvl>
    <w:lvl w:ilvl="1" w:tplc="E8E65B00">
      <w:numFmt w:val="bullet"/>
      <w:lvlText w:val="○"/>
      <w:lvlJc w:val="left"/>
      <w:pPr>
        <w:ind w:left="1545" w:hanging="360"/>
      </w:pPr>
      <w:rPr>
        <w:rFonts w:ascii="Arial" w:eastAsia="Arial" w:hAnsi="Arial" w:cs="Arial" w:hint="default"/>
        <w:spacing w:val="-12"/>
        <w:w w:val="90"/>
        <w:sz w:val="22"/>
        <w:szCs w:val="22"/>
      </w:rPr>
    </w:lvl>
    <w:lvl w:ilvl="2" w:tplc="6B3424A2">
      <w:numFmt w:val="bullet"/>
      <w:lvlText w:val="•"/>
      <w:lvlJc w:val="left"/>
      <w:pPr>
        <w:ind w:left="2217" w:hanging="360"/>
      </w:pPr>
      <w:rPr>
        <w:rFonts w:hint="default"/>
      </w:rPr>
    </w:lvl>
    <w:lvl w:ilvl="3" w:tplc="C204861A">
      <w:numFmt w:val="bullet"/>
      <w:lvlText w:val="•"/>
      <w:lvlJc w:val="left"/>
      <w:pPr>
        <w:ind w:left="2895" w:hanging="360"/>
      </w:pPr>
      <w:rPr>
        <w:rFonts w:hint="default"/>
      </w:rPr>
    </w:lvl>
    <w:lvl w:ilvl="4" w:tplc="164601F0">
      <w:numFmt w:val="bullet"/>
      <w:lvlText w:val="•"/>
      <w:lvlJc w:val="left"/>
      <w:pPr>
        <w:ind w:left="3573" w:hanging="360"/>
      </w:pPr>
      <w:rPr>
        <w:rFonts w:hint="default"/>
      </w:rPr>
    </w:lvl>
    <w:lvl w:ilvl="5" w:tplc="B4CA32F2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E2FA3E78">
      <w:numFmt w:val="bullet"/>
      <w:lvlText w:val="•"/>
      <w:lvlJc w:val="left"/>
      <w:pPr>
        <w:ind w:left="4928" w:hanging="360"/>
      </w:pPr>
      <w:rPr>
        <w:rFonts w:hint="default"/>
      </w:rPr>
    </w:lvl>
    <w:lvl w:ilvl="7" w:tplc="CB0C2128"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78303404">
      <w:numFmt w:val="bullet"/>
      <w:lvlText w:val="•"/>
      <w:lvlJc w:val="left"/>
      <w:pPr>
        <w:ind w:left="6284" w:hanging="360"/>
      </w:pPr>
      <w:rPr>
        <w:rFonts w:hint="default"/>
      </w:rPr>
    </w:lvl>
  </w:abstractNum>
  <w:num w:numId="1" w16cid:durableId="782924574">
    <w:abstractNumId w:val="3"/>
  </w:num>
  <w:num w:numId="2" w16cid:durableId="1412433868">
    <w:abstractNumId w:val="5"/>
  </w:num>
  <w:num w:numId="3" w16cid:durableId="266549929">
    <w:abstractNumId w:val="4"/>
  </w:num>
  <w:num w:numId="4" w16cid:durableId="1539661366">
    <w:abstractNumId w:val="1"/>
  </w:num>
  <w:num w:numId="5" w16cid:durableId="1153909538">
    <w:abstractNumId w:val="0"/>
  </w:num>
  <w:num w:numId="6" w16cid:durableId="18575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72"/>
    <w:rsid w:val="00155C8A"/>
    <w:rsid w:val="0019253F"/>
    <w:rsid w:val="001C09EC"/>
    <w:rsid w:val="002003DA"/>
    <w:rsid w:val="002A3D33"/>
    <w:rsid w:val="003206A8"/>
    <w:rsid w:val="0035285B"/>
    <w:rsid w:val="00393ACC"/>
    <w:rsid w:val="003A3B29"/>
    <w:rsid w:val="00451F81"/>
    <w:rsid w:val="00526454"/>
    <w:rsid w:val="00531CED"/>
    <w:rsid w:val="005B3D40"/>
    <w:rsid w:val="00615072"/>
    <w:rsid w:val="007813F5"/>
    <w:rsid w:val="009E2254"/>
    <w:rsid w:val="009F7854"/>
    <w:rsid w:val="00AF4F2B"/>
    <w:rsid w:val="00CD34E7"/>
    <w:rsid w:val="00CE530F"/>
    <w:rsid w:val="00DD4F25"/>
    <w:rsid w:val="00EB4C12"/>
    <w:rsid w:val="00F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97A4"/>
  <w15:docId w15:val="{3A99FED8-35B4-436F-A89A-447666C6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8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54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Diversity, Inclusion, and Bias Elimination Timed Outline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Diversity, Inclusion, and Bias Elimination Timed Outline</dc:title>
  <dc:creator>Bruce Wood</dc:creator>
  <cp:lastModifiedBy>Bruce Wood</cp:lastModifiedBy>
  <cp:revision>3</cp:revision>
  <dcterms:created xsi:type="dcterms:W3CDTF">2023-01-26T17:24:00Z</dcterms:created>
  <dcterms:modified xsi:type="dcterms:W3CDTF">2023-01-26T17:25:00Z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2022-12-14T00:00:00Z</vt:filetime>
  </property>
</Properties>
</file>